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bookmarkStart w:colFirst="0" w:colLast="0" w:name="_reiz63hl5dql" w:id="0"/>
      <w:bookmarkEnd w:id="0"/>
      <w:r w:rsidDel="00000000" w:rsidR="00000000" w:rsidRPr="00000000">
        <w:rPr>
          <w:rtl w:val="0"/>
        </w:rPr>
        <w:t xml:space="preserve">ReadMe</w:t>
      </w:r>
    </w:p>
    <w:p w:rsidR="00000000" w:rsidDel="00000000" w:rsidP="00000000" w:rsidRDefault="00000000" w:rsidRPr="00000000" w14:paraId="00000002">
      <w:pPr>
        <w:rPr>
          <w:rFonts w:ascii="Times New Roman" w:cs="Times New Roman" w:eastAsia="Times New Roman" w:hAnsi="Times New Roman"/>
          <w:sz w:val="24"/>
          <w:szCs w:val="24"/>
        </w:rPr>
      </w:pPr>
      <w:r w:rsidDel="00000000" w:rsidR="00000000" w:rsidRPr="00000000">
        <w:rPr>
          <w:rtl w:val="0"/>
        </w:rPr>
        <w:br w:type="textWrapping"/>
      </w:r>
      <w:r w:rsidDel="00000000" w:rsidR="00000000" w:rsidRPr="00000000">
        <w:rPr>
          <w:rFonts w:ascii="Times New Roman" w:cs="Times New Roman" w:eastAsia="Times New Roman" w:hAnsi="Times New Roman"/>
          <w:sz w:val="24"/>
          <w:szCs w:val="24"/>
          <w:rtl w:val="0"/>
        </w:rPr>
        <w:t xml:space="preserve">This attachment is provided as a partial deliverable and a supporting component of the ViWISSO project standards landscape report (ETSI ARF GR 010). It is deemed to be the best way to provide the results of research and analyses performed on the data set collected for the project. Information about the data set is provided in Clause 4 of the standards landscape report.</w:t>
      </w:r>
    </w:p>
    <w:p w:rsidR="00000000" w:rsidDel="00000000" w:rsidP="00000000" w:rsidRDefault="00000000" w:rsidRPr="00000000" w14:paraId="0000000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document explains the attachment contents and provides instructions for how to use the contents of this attachment. Please read carefully.</w:t>
      </w:r>
    </w:p>
    <w:p w:rsidR="00000000" w:rsidDel="00000000" w:rsidP="00000000" w:rsidRDefault="00000000" w:rsidRPr="00000000" w14:paraId="00000005">
      <w:pPr>
        <w:pStyle w:val="Heading1"/>
        <w:rPr/>
      </w:pPr>
      <w:bookmarkStart w:colFirst="0" w:colLast="0" w:name="_qbm1ug3g3no4" w:id="1"/>
      <w:bookmarkEnd w:id="1"/>
      <w:r w:rsidDel="00000000" w:rsidR="00000000" w:rsidRPr="00000000">
        <w:rPr>
          <w:rtl w:val="0"/>
        </w:rPr>
        <w:t xml:space="preserve">Contents of the attachment</w:t>
      </w:r>
    </w:p>
    <w:p w:rsidR="00000000" w:rsidDel="00000000" w:rsidP="00000000" w:rsidRDefault="00000000" w:rsidRPr="00000000" w14:paraId="0000000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attachment contains 11 folders: </w:t>
      </w:r>
    </w:p>
    <w:p w:rsidR="00000000" w:rsidDel="00000000" w:rsidP="00000000" w:rsidRDefault="00000000" w:rsidRPr="00000000" w14:paraId="00000007">
      <w:pPr>
        <w:numPr>
          <w:ilvl w:val="0"/>
          <w:numId w:val="1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Clause 4 - Emerging Virtual Worlds</w:t>
      </w:r>
    </w:p>
    <w:p w:rsidR="00000000" w:rsidDel="00000000" w:rsidP="00000000" w:rsidRDefault="00000000" w:rsidRPr="00000000" w14:paraId="00000008">
      <w:pPr>
        <w:numPr>
          <w:ilvl w:val="0"/>
          <w:numId w:val="1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Clause 6 - Infrastructure</w:t>
      </w:r>
    </w:p>
    <w:p w:rsidR="00000000" w:rsidDel="00000000" w:rsidP="00000000" w:rsidRDefault="00000000" w:rsidRPr="00000000" w14:paraId="00000009">
      <w:pPr>
        <w:numPr>
          <w:ilvl w:val="0"/>
          <w:numId w:val="1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Clause 7 - Data Management</w:t>
      </w:r>
    </w:p>
    <w:p w:rsidR="00000000" w:rsidDel="00000000" w:rsidP="00000000" w:rsidRDefault="00000000" w:rsidRPr="00000000" w14:paraId="0000000A">
      <w:pPr>
        <w:numPr>
          <w:ilvl w:val="0"/>
          <w:numId w:val="1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Clause 8 - Artificial Intelligence</w:t>
      </w:r>
    </w:p>
    <w:p w:rsidR="00000000" w:rsidDel="00000000" w:rsidP="00000000" w:rsidRDefault="00000000" w:rsidRPr="00000000" w14:paraId="0000000B">
      <w:pPr>
        <w:numPr>
          <w:ilvl w:val="0"/>
          <w:numId w:val="1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Clause 9 - Reality Capture</w:t>
      </w:r>
    </w:p>
    <w:p w:rsidR="00000000" w:rsidDel="00000000" w:rsidP="00000000" w:rsidRDefault="00000000" w:rsidRPr="00000000" w14:paraId="0000000C">
      <w:pPr>
        <w:numPr>
          <w:ilvl w:val="0"/>
          <w:numId w:val="1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Clause 10 - Human Interface Systems and Devices</w:t>
      </w:r>
    </w:p>
    <w:p w:rsidR="00000000" w:rsidDel="00000000" w:rsidP="00000000" w:rsidRDefault="00000000" w:rsidRPr="00000000" w14:paraId="0000000D">
      <w:pPr>
        <w:numPr>
          <w:ilvl w:val="0"/>
          <w:numId w:val="1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Clause 11 - Immersive Experiences</w:t>
      </w:r>
    </w:p>
    <w:p w:rsidR="00000000" w:rsidDel="00000000" w:rsidP="00000000" w:rsidRDefault="00000000" w:rsidRPr="00000000" w14:paraId="0000000E">
      <w:pPr>
        <w:numPr>
          <w:ilvl w:val="0"/>
          <w:numId w:val="1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Clause 12 - Virtual Society</w:t>
      </w:r>
    </w:p>
    <w:p w:rsidR="00000000" w:rsidDel="00000000" w:rsidP="00000000" w:rsidRDefault="00000000" w:rsidRPr="00000000" w14:paraId="0000000F">
      <w:pPr>
        <w:numPr>
          <w:ilvl w:val="0"/>
          <w:numId w:val="1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Clause 13 - Virtual Economy</w:t>
      </w:r>
    </w:p>
    <w:p w:rsidR="00000000" w:rsidDel="00000000" w:rsidP="00000000" w:rsidRDefault="00000000" w:rsidRPr="00000000" w14:paraId="00000010">
      <w:pPr>
        <w:numPr>
          <w:ilvl w:val="0"/>
          <w:numId w:val="1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Clause 14 - Cross-domain standards</w:t>
      </w:r>
    </w:p>
    <w:p w:rsidR="00000000" w:rsidDel="00000000" w:rsidP="00000000" w:rsidRDefault="00000000" w:rsidRPr="00000000" w14:paraId="00000011">
      <w:pPr>
        <w:numPr>
          <w:ilvl w:val="0"/>
          <w:numId w:val="1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Clause 15 - Industry-specific standards</w:t>
      </w:r>
    </w:p>
    <w:p w:rsidR="00000000" w:rsidDel="00000000" w:rsidP="00000000" w:rsidRDefault="00000000" w:rsidRPr="00000000" w14:paraId="0000001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Clause 4 folder contains</w:t>
      </w:r>
    </w:p>
    <w:p w:rsidR="00000000" w:rsidDel="00000000" w:rsidP="00000000" w:rsidRDefault="00000000" w:rsidRPr="00000000" w14:paraId="00000014">
      <w:pPr>
        <w:numPr>
          <w:ilvl w:val="0"/>
          <w:numId w:val="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Interactive_standards_scatterplot.html</w:t>
      </w:r>
    </w:p>
    <w:p w:rsidR="00000000" w:rsidDel="00000000" w:rsidP="00000000" w:rsidRDefault="00000000" w:rsidRPr="00000000" w14:paraId="00000015">
      <w:pPr>
        <w:numPr>
          <w:ilvl w:val="0"/>
          <w:numId w:val="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Interactive_technical_reports_scatterplot.html</w:t>
      </w:r>
    </w:p>
    <w:p w:rsidR="00000000" w:rsidDel="00000000" w:rsidP="00000000" w:rsidRDefault="00000000" w:rsidRPr="00000000" w14:paraId="00000016">
      <w:pPr>
        <w:numPr>
          <w:ilvl w:val="0"/>
          <w:numId w:val="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Interactive_all_documents_scatterplot.html</w:t>
      </w:r>
    </w:p>
    <w:p w:rsidR="00000000" w:rsidDel="00000000" w:rsidP="00000000" w:rsidRDefault="00000000" w:rsidRPr="00000000" w14:paraId="00000017">
      <w:pPr>
        <w:numPr>
          <w:ilvl w:val="0"/>
          <w:numId w:val="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Interactive_standards_radar_chart.html</w:t>
      </w:r>
    </w:p>
    <w:p w:rsidR="00000000" w:rsidDel="00000000" w:rsidP="00000000" w:rsidRDefault="00000000" w:rsidRPr="00000000" w14:paraId="00000018">
      <w:pPr>
        <w:numPr>
          <w:ilvl w:val="0"/>
          <w:numId w:val="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Interactive_technical_reports_radar_chart.html</w:t>
      </w:r>
    </w:p>
    <w:p w:rsidR="00000000" w:rsidDel="00000000" w:rsidP="00000000" w:rsidRDefault="00000000" w:rsidRPr="00000000" w14:paraId="00000019">
      <w:pPr>
        <w:numPr>
          <w:ilvl w:val="0"/>
          <w:numId w:val="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Interactive_all_documents_radar_chart.html</w:t>
      </w:r>
    </w:p>
    <w:p w:rsidR="00000000" w:rsidDel="00000000" w:rsidP="00000000" w:rsidRDefault="00000000" w:rsidRPr="00000000" w14:paraId="0000001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Folders for clauses 6-13 always contain the following files (these are the titles of the files): </w:t>
      </w:r>
    </w:p>
    <w:p w:rsidR="00000000" w:rsidDel="00000000" w:rsidP="00000000" w:rsidRDefault="00000000" w:rsidRPr="00000000" w14:paraId="0000001C">
      <w:pPr>
        <w:numPr>
          <w:ilvl w:val="0"/>
          <w:numId w:val="4"/>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Top_standards_working_groups_in_[appropriate folder]_domain.xlsx</w:t>
      </w:r>
    </w:p>
    <w:p w:rsidR="00000000" w:rsidDel="00000000" w:rsidP="00000000" w:rsidRDefault="00000000" w:rsidRPr="00000000" w14:paraId="0000001D">
      <w:pPr>
        <w:numPr>
          <w:ilvl w:val="0"/>
          <w:numId w:val="4"/>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Top_standards_in_[appropriate folder]_domain.xlsx</w:t>
      </w:r>
    </w:p>
    <w:p w:rsidR="00000000" w:rsidDel="00000000" w:rsidP="00000000" w:rsidRDefault="00000000" w:rsidRPr="00000000" w14:paraId="0000001E">
      <w:pPr>
        <w:numPr>
          <w:ilvl w:val="0"/>
          <w:numId w:val="4"/>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Top_technical_reports_in_[appropriate folder]_domain.xlsx</w:t>
      </w:r>
    </w:p>
    <w:p w:rsidR="00000000" w:rsidDel="00000000" w:rsidP="00000000" w:rsidRDefault="00000000" w:rsidRPr="00000000" w14:paraId="0000001F">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Clause 14 folder contains one file: </w:t>
      </w:r>
    </w:p>
    <w:p w:rsidR="00000000" w:rsidDel="00000000" w:rsidP="00000000" w:rsidRDefault="00000000" w:rsidRPr="00000000" w14:paraId="00000021">
      <w:pPr>
        <w:numPr>
          <w:ilvl w:val="0"/>
          <w:numId w:val="8"/>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Top_cross-domain_standards.xlsx</w:t>
      </w:r>
    </w:p>
    <w:p w:rsidR="00000000" w:rsidDel="00000000" w:rsidP="00000000" w:rsidRDefault="00000000" w:rsidRPr="00000000" w14:paraId="0000002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t xml:space="preserve">Clause 15 folder contains three files: </w:t>
      </w:r>
    </w:p>
    <w:p w:rsidR="00000000" w:rsidDel="00000000" w:rsidP="00000000" w:rsidRDefault="00000000" w:rsidRPr="00000000" w14:paraId="00000023">
      <w:pPr>
        <w:numPr>
          <w:ilvl w:val="0"/>
          <w:numId w:val="3"/>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Relevant_Architecture_Construction_Industry_Standards.xlsx</w:t>
      </w:r>
    </w:p>
    <w:p w:rsidR="00000000" w:rsidDel="00000000" w:rsidP="00000000" w:rsidRDefault="00000000" w:rsidRPr="00000000" w14:paraId="00000024">
      <w:pPr>
        <w:numPr>
          <w:ilvl w:val="0"/>
          <w:numId w:val="3"/>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Relevant_Healthcare_Industry_Standards.xlsx</w:t>
      </w:r>
    </w:p>
    <w:p w:rsidR="00000000" w:rsidDel="00000000" w:rsidP="00000000" w:rsidRDefault="00000000" w:rsidRPr="00000000" w14:paraId="00000025">
      <w:pPr>
        <w:numPr>
          <w:ilvl w:val="0"/>
          <w:numId w:val="3"/>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Relevant_Manufacturing_Industry_Standards.xlsx</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pStyle w:val="Heading1"/>
        <w:rPr/>
      </w:pPr>
      <w:bookmarkStart w:colFirst="0" w:colLast="0" w:name="_smvjtrq63zka" w:id="2"/>
      <w:bookmarkEnd w:id="2"/>
      <w:r w:rsidDel="00000000" w:rsidR="00000000" w:rsidRPr="00000000">
        <w:rPr>
          <w:rtl w:val="0"/>
        </w:rPr>
        <w:t xml:space="preserve">How to use</w:t>
      </w:r>
    </w:p>
    <w:p w:rsidR="00000000" w:rsidDel="00000000" w:rsidP="00000000" w:rsidRDefault="00000000" w:rsidRPr="00000000" w14:paraId="00000028">
      <w:pPr>
        <w:pStyle w:val="Heading2"/>
        <w:rPr>
          <w:sz w:val="24"/>
          <w:szCs w:val="24"/>
        </w:rPr>
      </w:pPr>
      <w:bookmarkStart w:colFirst="0" w:colLast="0" w:name="_y2njo6lj4sya" w:id="3"/>
      <w:bookmarkEnd w:id="3"/>
      <w:r w:rsidDel="00000000" w:rsidR="00000000" w:rsidRPr="00000000">
        <w:rPr>
          <w:sz w:val="24"/>
          <w:szCs w:val="24"/>
          <w:rtl w:val="0"/>
        </w:rPr>
        <w:t xml:space="preserve">HTML </w:t>
      </w:r>
    </w:p>
    <w:p w:rsidR="00000000" w:rsidDel="00000000" w:rsidP="00000000" w:rsidRDefault="00000000" w:rsidRPr="00000000" w14:paraId="00000029">
      <w:pPr>
        <w:pStyle w:val="Heading3"/>
        <w:rPr>
          <w:rFonts w:ascii="Times New Roman" w:cs="Times New Roman" w:eastAsia="Times New Roman" w:hAnsi="Times New Roman"/>
          <w:b w:val="1"/>
          <w:color w:val="000000"/>
          <w:sz w:val="24"/>
          <w:szCs w:val="24"/>
        </w:rPr>
      </w:pPr>
      <w:bookmarkStart w:colFirst="0" w:colLast="0" w:name="_nmf3uswjedad" w:id="4"/>
      <w:bookmarkEnd w:id="4"/>
      <w:r w:rsidDel="00000000" w:rsidR="00000000" w:rsidRPr="00000000">
        <w:rPr>
          <w:rFonts w:ascii="Times New Roman" w:cs="Times New Roman" w:eastAsia="Times New Roman" w:hAnsi="Times New Roman"/>
          <w:b w:val="1"/>
          <w:color w:val="000000"/>
          <w:sz w:val="24"/>
          <w:szCs w:val="24"/>
          <w:rtl w:val="0"/>
        </w:rPr>
        <w:t xml:space="preserve">Opening the Interactive Charts</w:t>
      </w:r>
    </w:p>
    <w:p w:rsidR="00000000" w:rsidDel="00000000" w:rsidP="00000000" w:rsidRDefault="00000000" w:rsidRPr="00000000" w14:paraId="0000002A">
      <w:pPr>
        <w:numPr>
          <w:ilvl w:val="0"/>
          <w:numId w:val="2"/>
        </w:numPr>
        <w:spacing w:after="0" w:afterAutospacing="0" w:before="32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Navigate to the clause 4 folder.</w:t>
      </w:r>
      <w:r w:rsidDel="00000000" w:rsidR="00000000" w:rsidRPr="00000000">
        <w:rPr>
          <w:rtl w:val="0"/>
        </w:rPr>
      </w:r>
    </w:p>
    <w:p w:rsidR="00000000" w:rsidDel="00000000" w:rsidP="00000000" w:rsidRDefault="00000000" w:rsidRPr="00000000" w14:paraId="0000002B">
      <w:pPr>
        <w:numPr>
          <w:ilvl w:val="0"/>
          <w:numId w:val="2"/>
        </w:numPr>
        <w:spacing w:after="320" w:before="0" w:before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Open the interactive chart file in a web browser by double-clicking the html file or right-clicking and then selecting “open with browser.”</w:t>
      </w:r>
    </w:p>
    <w:p w:rsidR="00000000" w:rsidDel="00000000" w:rsidP="00000000" w:rsidRDefault="00000000" w:rsidRPr="00000000" w14:paraId="0000002C">
      <w:pPr>
        <w:pStyle w:val="Heading3"/>
        <w:spacing w:after="320" w:before="320" w:lineRule="auto"/>
        <w:rPr>
          <w:rFonts w:ascii="Times New Roman" w:cs="Times New Roman" w:eastAsia="Times New Roman" w:hAnsi="Times New Roman"/>
          <w:b w:val="1"/>
          <w:color w:val="000000"/>
          <w:sz w:val="24"/>
          <w:szCs w:val="24"/>
        </w:rPr>
      </w:pPr>
      <w:bookmarkStart w:colFirst="0" w:colLast="0" w:name="_kszxy0bz78vi" w:id="5"/>
      <w:bookmarkEnd w:id="5"/>
      <w:r w:rsidDel="00000000" w:rsidR="00000000" w:rsidRPr="00000000">
        <w:rPr>
          <w:rFonts w:ascii="Times New Roman" w:cs="Times New Roman" w:eastAsia="Times New Roman" w:hAnsi="Times New Roman"/>
          <w:b w:val="1"/>
          <w:color w:val="000000"/>
          <w:sz w:val="24"/>
          <w:szCs w:val="24"/>
          <w:rtl w:val="0"/>
        </w:rPr>
        <w:t xml:space="preserve">Interactive Features</w:t>
      </w:r>
    </w:p>
    <w:p w:rsidR="00000000" w:rsidDel="00000000" w:rsidP="00000000" w:rsidRDefault="00000000" w:rsidRPr="00000000" w14:paraId="0000002D">
      <w:pPr>
        <w:pStyle w:val="Heading4"/>
        <w:spacing w:after="320" w:before="320" w:lineRule="auto"/>
        <w:rPr>
          <w:rFonts w:ascii="Times New Roman" w:cs="Times New Roman" w:eastAsia="Times New Roman" w:hAnsi="Times New Roman"/>
          <w:color w:val="000000"/>
        </w:rPr>
      </w:pPr>
      <w:bookmarkStart w:colFirst="0" w:colLast="0" w:name="_k91zu35m1ec" w:id="6"/>
      <w:bookmarkEnd w:id="6"/>
      <w:r w:rsidDel="00000000" w:rsidR="00000000" w:rsidRPr="00000000">
        <w:rPr>
          <w:rFonts w:ascii="Times New Roman" w:cs="Times New Roman" w:eastAsia="Times New Roman" w:hAnsi="Times New Roman"/>
          <w:color w:val="000000"/>
          <w:rtl w:val="0"/>
        </w:rPr>
        <w:t xml:space="preserve">Toggling SDOs</w:t>
      </w:r>
    </w:p>
    <w:p w:rsidR="00000000" w:rsidDel="00000000" w:rsidP="00000000" w:rsidRDefault="00000000" w:rsidRPr="00000000" w14:paraId="0000002E">
      <w:pPr>
        <w:numPr>
          <w:ilvl w:val="0"/>
          <w:numId w:val="7"/>
        </w:numPr>
        <w:spacing w:after="0" w:afterAutospacing="0" w:before="32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Show/Hide Individual SDOs</w:t>
      </w:r>
    </w:p>
    <w:p w:rsidR="00000000" w:rsidDel="00000000" w:rsidP="00000000" w:rsidRDefault="00000000" w:rsidRPr="00000000" w14:paraId="0000002F">
      <w:pPr>
        <w:numPr>
          <w:ilvl w:val="1"/>
          <w:numId w:val="7"/>
        </w:numPr>
        <w:spacing w:after="0" w:afterAutospacing="0" w:before="0" w:beforeAutospacing="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Click on an SDO’s name in the legend to toggle its visibility</w:t>
      </w:r>
    </w:p>
    <w:p w:rsidR="00000000" w:rsidDel="00000000" w:rsidP="00000000" w:rsidRDefault="00000000" w:rsidRPr="00000000" w14:paraId="00000030">
      <w:pPr>
        <w:numPr>
          <w:ilvl w:val="1"/>
          <w:numId w:val="7"/>
        </w:numPr>
        <w:spacing w:after="0" w:afterAutospacing="0" w:before="0" w:beforeAutospacing="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allows you to focus on specific organizations of interest</w:t>
      </w:r>
    </w:p>
    <w:p w:rsidR="00000000" w:rsidDel="00000000" w:rsidP="00000000" w:rsidRDefault="00000000" w:rsidRPr="00000000" w14:paraId="00000031">
      <w:pPr>
        <w:numPr>
          <w:ilvl w:val="0"/>
          <w:numId w:val="7"/>
        </w:numPr>
        <w:spacing w:after="0" w:afterAutospacing="0" w:before="0" w:before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Quick Selection Options</w:t>
      </w:r>
    </w:p>
    <w:p w:rsidR="00000000" w:rsidDel="00000000" w:rsidP="00000000" w:rsidRDefault="00000000" w:rsidRPr="00000000" w14:paraId="00000032">
      <w:pPr>
        <w:numPr>
          <w:ilvl w:val="1"/>
          <w:numId w:val="7"/>
        </w:numPr>
        <w:spacing w:after="0" w:afterAutospacing="0" w:before="0" w:beforeAutospacing="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 the buttons at the top of the chart:</w:t>
      </w:r>
    </w:p>
    <w:p w:rsidR="00000000" w:rsidDel="00000000" w:rsidP="00000000" w:rsidRDefault="00000000" w:rsidRPr="00000000" w14:paraId="00000033">
      <w:pPr>
        <w:numPr>
          <w:ilvl w:val="2"/>
          <w:numId w:val="7"/>
        </w:numPr>
        <w:spacing w:after="0" w:afterAutospacing="0" w:before="0" w:beforeAutospacing="0"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“Show Top 5”: Displays only the 5 most productive SDOs</w:t>
      </w:r>
    </w:p>
    <w:p w:rsidR="00000000" w:rsidDel="00000000" w:rsidP="00000000" w:rsidRDefault="00000000" w:rsidRPr="00000000" w14:paraId="00000034">
      <w:pPr>
        <w:numPr>
          <w:ilvl w:val="2"/>
          <w:numId w:val="7"/>
        </w:numPr>
        <w:spacing w:after="0" w:afterAutospacing="0" w:before="0" w:beforeAutospacing="0"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“Show All”: Makes all SDOs visible</w:t>
      </w:r>
    </w:p>
    <w:p w:rsidR="00000000" w:rsidDel="00000000" w:rsidP="00000000" w:rsidRDefault="00000000" w:rsidRPr="00000000" w14:paraId="00000035">
      <w:pPr>
        <w:numPr>
          <w:ilvl w:val="2"/>
          <w:numId w:val="7"/>
        </w:numPr>
        <w:spacing w:after="0" w:afterAutospacing="0" w:before="0" w:beforeAutospacing="0"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“Hide All”: Hides all SDOs (useful for selecting just the ones you want)</w:t>
      </w:r>
    </w:p>
    <w:p w:rsidR="00000000" w:rsidDel="00000000" w:rsidP="00000000" w:rsidRDefault="00000000" w:rsidRPr="00000000" w14:paraId="00000036">
      <w:pPr>
        <w:numPr>
          <w:ilvl w:val="0"/>
          <w:numId w:val="7"/>
        </w:numPr>
        <w:spacing w:after="0" w:afterAutospacing="0" w:before="0" w:before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Isolate a Single SDO</w:t>
      </w:r>
    </w:p>
    <w:p w:rsidR="00000000" w:rsidDel="00000000" w:rsidP="00000000" w:rsidRDefault="00000000" w:rsidRPr="00000000" w14:paraId="00000037">
      <w:pPr>
        <w:numPr>
          <w:ilvl w:val="1"/>
          <w:numId w:val="7"/>
        </w:numPr>
        <w:spacing w:after="0" w:afterAutospacing="0" w:before="0" w:beforeAutospacing="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Double-click on an SDO’s name in the legend to show only that SDO</w:t>
      </w:r>
    </w:p>
    <w:p w:rsidR="00000000" w:rsidDel="00000000" w:rsidP="00000000" w:rsidRDefault="00000000" w:rsidRPr="00000000" w14:paraId="00000038">
      <w:pPr>
        <w:numPr>
          <w:ilvl w:val="1"/>
          <w:numId w:val="7"/>
        </w:numPr>
        <w:spacing w:after="320" w:before="0" w:beforeAutospacing="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Double-click on an empty area of the legend to show all SDOs again</w:t>
      </w:r>
    </w:p>
    <w:p w:rsidR="00000000" w:rsidDel="00000000" w:rsidP="00000000" w:rsidRDefault="00000000" w:rsidRPr="00000000" w14:paraId="00000039">
      <w:pPr>
        <w:pStyle w:val="Heading3"/>
        <w:spacing w:after="320" w:before="320" w:lineRule="auto"/>
        <w:ind w:left="720" w:firstLine="0"/>
        <w:rPr>
          <w:rFonts w:ascii="Times New Roman" w:cs="Times New Roman" w:eastAsia="Times New Roman" w:hAnsi="Times New Roman"/>
          <w:b w:val="1"/>
          <w:sz w:val="24"/>
          <w:szCs w:val="24"/>
        </w:rPr>
      </w:pPr>
      <w:bookmarkStart w:colFirst="0" w:colLast="0" w:name="_qsenfh303n90" w:id="7"/>
      <w:bookmarkEnd w:id="7"/>
      <w:r w:rsidDel="00000000" w:rsidR="00000000" w:rsidRPr="00000000">
        <w:rPr>
          <w:rFonts w:ascii="Times New Roman" w:cs="Times New Roman" w:eastAsia="Times New Roman" w:hAnsi="Times New Roman"/>
          <w:b w:val="1"/>
          <w:sz w:val="24"/>
          <w:szCs w:val="24"/>
          <w:rtl w:val="0"/>
        </w:rPr>
        <w:t xml:space="preserve">Viewing Detailed Information</w:t>
      </w:r>
    </w:p>
    <w:p w:rsidR="00000000" w:rsidDel="00000000" w:rsidP="00000000" w:rsidRDefault="00000000" w:rsidRPr="00000000" w14:paraId="0000003A">
      <w:pPr>
        <w:numPr>
          <w:ilvl w:val="0"/>
          <w:numId w:val="9"/>
        </w:numPr>
        <w:spacing w:after="0" w:afterAutospacing="0" w:before="32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Hover Information:</w:t>
      </w:r>
    </w:p>
    <w:p w:rsidR="00000000" w:rsidDel="00000000" w:rsidP="00000000" w:rsidRDefault="00000000" w:rsidRPr="00000000" w14:paraId="0000003B">
      <w:pPr>
        <w:numPr>
          <w:ilvl w:val="1"/>
          <w:numId w:val="9"/>
        </w:numPr>
        <w:spacing w:after="0" w:afterAutospacing="0" w:before="0" w:beforeAutospacing="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Hover your cursor over any point on a spider chart to see:</w:t>
      </w:r>
    </w:p>
    <w:p w:rsidR="00000000" w:rsidDel="00000000" w:rsidP="00000000" w:rsidRDefault="00000000" w:rsidRPr="00000000" w14:paraId="0000003C">
      <w:pPr>
        <w:numPr>
          <w:ilvl w:val="2"/>
          <w:numId w:val="9"/>
        </w:numPr>
        <w:spacing w:after="0" w:afterAutospacing="0" w:before="0" w:beforeAutospacing="0"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domain name</w:t>
      </w:r>
    </w:p>
    <w:p w:rsidR="00000000" w:rsidDel="00000000" w:rsidP="00000000" w:rsidRDefault="00000000" w:rsidRPr="00000000" w14:paraId="0000003D">
      <w:pPr>
        <w:numPr>
          <w:ilvl w:val="2"/>
          <w:numId w:val="9"/>
        </w:numPr>
        <w:spacing w:after="0" w:afterAutospacing="0" w:before="0" w:beforeAutospacing="0"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normalized score (0-1)</w:t>
      </w:r>
    </w:p>
    <w:p w:rsidR="00000000" w:rsidDel="00000000" w:rsidP="00000000" w:rsidRDefault="00000000" w:rsidRPr="00000000" w14:paraId="0000003E">
      <w:pPr>
        <w:numPr>
          <w:ilvl w:val="2"/>
          <w:numId w:val="9"/>
        </w:numPr>
        <w:spacing w:after="0" w:afterAutospacing="0" w:before="0" w:beforeAutospacing="0"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actual average score for that domain</w:t>
      </w:r>
    </w:p>
    <w:p w:rsidR="00000000" w:rsidDel="00000000" w:rsidP="00000000" w:rsidRDefault="00000000" w:rsidRPr="00000000" w14:paraId="0000003F">
      <w:pPr>
        <w:numPr>
          <w:ilvl w:val="0"/>
          <w:numId w:val="9"/>
        </w:numPr>
        <w:spacing w:after="0" w:afterAutospacing="0" w:before="0" w:before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Understanding the Scale</w:t>
      </w:r>
    </w:p>
    <w:p w:rsidR="00000000" w:rsidDel="00000000" w:rsidP="00000000" w:rsidRDefault="00000000" w:rsidRPr="00000000" w14:paraId="00000040">
      <w:pPr>
        <w:numPr>
          <w:ilvl w:val="1"/>
          <w:numId w:val="9"/>
        </w:numPr>
        <w:spacing w:after="0" w:afterAutospacing="0" w:before="0" w:beforeAutospacing="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Values are normalized relative to each SDO’s maximum domain average score</w:t>
      </w:r>
    </w:p>
    <w:p w:rsidR="00000000" w:rsidDel="00000000" w:rsidP="00000000" w:rsidRDefault="00000000" w:rsidRPr="00000000" w14:paraId="00000041">
      <w:pPr>
        <w:numPr>
          <w:ilvl w:val="1"/>
          <w:numId w:val="9"/>
        </w:numPr>
        <w:spacing w:after="0" w:afterAutospacing="0" w:before="0" w:beforeAutospacing="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value of 1.0 indicates the domain with the highest focus for that SDO</w:t>
      </w:r>
    </w:p>
    <w:p w:rsidR="00000000" w:rsidDel="00000000" w:rsidP="00000000" w:rsidRDefault="00000000" w:rsidRPr="00000000" w14:paraId="00000042">
      <w:pPr>
        <w:numPr>
          <w:ilvl w:val="1"/>
          <w:numId w:val="9"/>
        </w:numPr>
        <w:spacing w:after="320" w:before="0" w:beforeAutospacing="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Lower values show proportionally less focus in those domains</w:t>
      </w:r>
    </w:p>
    <w:p w:rsidR="00000000" w:rsidDel="00000000" w:rsidP="00000000" w:rsidRDefault="00000000" w:rsidRPr="00000000" w14:paraId="00000043">
      <w:pPr>
        <w:pStyle w:val="Heading3"/>
        <w:spacing w:after="320" w:before="320" w:lineRule="auto"/>
        <w:rPr>
          <w:rFonts w:ascii="Times New Roman" w:cs="Times New Roman" w:eastAsia="Times New Roman" w:hAnsi="Times New Roman"/>
          <w:b w:val="1"/>
          <w:sz w:val="24"/>
          <w:szCs w:val="24"/>
        </w:rPr>
      </w:pPr>
      <w:bookmarkStart w:colFirst="0" w:colLast="0" w:name="_18pxuaorrtna" w:id="8"/>
      <w:bookmarkEnd w:id="8"/>
      <w:r w:rsidDel="00000000" w:rsidR="00000000" w:rsidRPr="00000000">
        <w:rPr>
          <w:rFonts w:ascii="Times New Roman" w:cs="Times New Roman" w:eastAsia="Times New Roman" w:hAnsi="Times New Roman"/>
          <w:b w:val="1"/>
          <w:sz w:val="24"/>
          <w:szCs w:val="24"/>
          <w:rtl w:val="0"/>
        </w:rPr>
        <w:t xml:space="preserve">Comparing Multiple SDOs</w:t>
      </w:r>
    </w:p>
    <w:p w:rsidR="00000000" w:rsidDel="00000000" w:rsidP="00000000" w:rsidRDefault="00000000" w:rsidRPr="00000000" w14:paraId="00000044">
      <w:pPr>
        <w:numPr>
          <w:ilvl w:val="0"/>
          <w:numId w:val="6"/>
        </w:numPr>
        <w:spacing w:after="0" w:afterAutospacing="0" w:before="32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Side-by-Side Comparison</w:t>
      </w:r>
    </w:p>
    <w:p w:rsidR="00000000" w:rsidDel="00000000" w:rsidP="00000000" w:rsidRDefault="00000000" w:rsidRPr="00000000" w14:paraId="00000045">
      <w:pPr>
        <w:numPr>
          <w:ilvl w:val="1"/>
          <w:numId w:val="6"/>
        </w:numPr>
        <w:spacing w:after="0" w:afterAutospacing="0" w:before="0" w:beforeAutospacing="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Select 2-5 SDOs to compare their domain focus areas</w:t>
      </w:r>
    </w:p>
    <w:p w:rsidR="00000000" w:rsidDel="00000000" w:rsidP="00000000" w:rsidRDefault="00000000" w:rsidRPr="00000000" w14:paraId="00000046">
      <w:pPr>
        <w:numPr>
          <w:ilvl w:val="1"/>
          <w:numId w:val="6"/>
        </w:numPr>
        <w:spacing w:after="0" w:afterAutospacing="0" w:before="0" w:beforeAutospacing="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Look for overlapping patterns or complementary strengths</w:t>
      </w:r>
    </w:p>
    <w:p w:rsidR="00000000" w:rsidDel="00000000" w:rsidP="00000000" w:rsidRDefault="00000000" w:rsidRPr="00000000" w14:paraId="00000047">
      <w:pPr>
        <w:numPr>
          <w:ilvl w:val="0"/>
          <w:numId w:val="6"/>
        </w:numPr>
        <w:spacing w:after="0" w:afterAutospacing="0" w:before="0" w:before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Finding Domain Leaders</w:t>
      </w:r>
    </w:p>
    <w:p w:rsidR="00000000" w:rsidDel="00000000" w:rsidP="00000000" w:rsidRDefault="00000000" w:rsidRPr="00000000" w14:paraId="00000048">
      <w:pPr>
        <w:numPr>
          <w:ilvl w:val="1"/>
          <w:numId w:val="6"/>
        </w:numPr>
        <w:spacing w:after="0" w:afterAutospacing="0" w:before="0" w:beforeAutospacing="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Toggle through SDOs to identify which organizations lead in specific domains</w:t>
      </w:r>
    </w:p>
    <w:p w:rsidR="00000000" w:rsidDel="00000000" w:rsidP="00000000" w:rsidRDefault="00000000" w:rsidRPr="00000000" w14:paraId="00000049">
      <w:pPr>
        <w:numPr>
          <w:ilvl w:val="1"/>
          <w:numId w:val="6"/>
        </w:numPr>
        <w:spacing w:after="0" w:afterAutospacing="0" w:before="0" w:beforeAutospacing="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Compare relative focus across different types of organizations</w:t>
      </w:r>
    </w:p>
    <w:p w:rsidR="00000000" w:rsidDel="00000000" w:rsidP="00000000" w:rsidRDefault="00000000" w:rsidRPr="00000000" w14:paraId="0000004A">
      <w:pPr>
        <w:numPr>
          <w:ilvl w:val="0"/>
          <w:numId w:val="6"/>
        </w:numPr>
        <w:spacing w:after="0" w:afterAutospacing="0" w:before="0" w:before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Domain Focus Areas</w:t>
      </w:r>
    </w:p>
    <w:p w:rsidR="00000000" w:rsidDel="00000000" w:rsidP="00000000" w:rsidRDefault="00000000" w:rsidRPr="00000000" w14:paraId="0000004B">
      <w:pPr>
        <w:numPr>
          <w:ilvl w:val="1"/>
          <w:numId w:val="6"/>
        </w:numPr>
        <w:spacing w:after="0" w:afterAutospacing="0" w:before="0" w:beforeAutospacing="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Areas where the plot extends further outward (closer to 1.0) represent an SDO’s primary focus domains</w:t>
      </w:r>
    </w:p>
    <w:p w:rsidR="00000000" w:rsidDel="00000000" w:rsidP="00000000" w:rsidRDefault="00000000" w:rsidRPr="00000000" w14:paraId="0000004C">
      <w:pPr>
        <w:numPr>
          <w:ilvl w:val="1"/>
          <w:numId w:val="6"/>
        </w:numPr>
        <w:spacing w:after="0" w:afterAutospacing="0" w:before="0" w:beforeAutospacing="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Smaller areas indicate less focus or activity in those domains</w:t>
      </w:r>
    </w:p>
    <w:p w:rsidR="00000000" w:rsidDel="00000000" w:rsidP="00000000" w:rsidRDefault="00000000" w:rsidRPr="00000000" w14:paraId="0000004D">
      <w:pPr>
        <w:numPr>
          <w:ilvl w:val="0"/>
          <w:numId w:val="6"/>
        </w:numPr>
        <w:spacing w:after="0" w:afterAutospacing="0" w:before="0" w:before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Balanced vs. Specialized SDOs</w:t>
      </w:r>
    </w:p>
    <w:p w:rsidR="00000000" w:rsidDel="00000000" w:rsidP="00000000" w:rsidRDefault="00000000" w:rsidRPr="00000000" w14:paraId="0000004E">
      <w:pPr>
        <w:numPr>
          <w:ilvl w:val="1"/>
          <w:numId w:val="6"/>
        </w:numPr>
        <w:spacing w:after="0" w:afterAutospacing="0" w:before="0" w:beforeAutospacing="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SDOs with similar values across all domains have a balanced approach</w:t>
      </w:r>
    </w:p>
    <w:p w:rsidR="00000000" w:rsidDel="00000000" w:rsidP="00000000" w:rsidRDefault="00000000" w:rsidRPr="00000000" w14:paraId="0000004F">
      <w:pPr>
        <w:numPr>
          <w:ilvl w:val="1"/>
          <w:numId w:val="6"/>
        </w:numPr>
        <w:spacing w:after="0" w:afterAutospacing="0" w:before="0" w:beforeAutospacing="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SDOs with high values in 1-2 domains and low values elsewhere are more specialized</w:t>
      </w:r>
    </w:p>
    <w:p w:rsidR="00000000" w:rsidDel="00000000" w:rsidP="00000000" w:rsidRDefault="00000000" w:rsidRPr="00000000" w14:paraId="00000050">
      <w:pPr>
        <w:numPr>
          <w:ilvl w:val="0"/>
          <w:numId w:val="6"/>
        </w:numPr>
        <w:spacing w:after="0" w:afterAutospacing="0" w:before="0" w:before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SDO Size Context</w:t>
      </w:r>
    </w:p>
    <w:p w:rsidR="00000000" w:rsidDel="00000000" w:rsidP="00000000" w:rsidRDefault="00000000" w:rsidRPr="00000000" w14:paraId="00000051">
      <w:pPr>
        <w:numPr>
          <w:ilvl w:val="1"/>
          <w:numId w:val="6"/>
        </w:numPr>
        <w:spacing w:after="0" w:afterAutospacing="0" w:before="0" w:beforeAutospacing="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number in parentheses next to each SDO name shows their total number of standards/reports</w:t>
      </w:r>
    </w:p>
    <w:p w:rsidR="00000000" w:rsidDel="00000000" w:rsidP="00000000" w:rsidRDefault="00000000" w:rsidRPr="00000000" w14:paraId="00000052">
      <w:pPr>
        <w:numPr>
          <w:ilvl w:val="1"/>
          <w:numId w:val="6"/>
        </w:numPr>
        <w:spacing w:after="320" w:before="0" w:beforeAutospacing="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helps contextualize their overall productivity</w:t>
      </w:r>
    </w:p>
    <w:p w:rsidR="00000000" w:rsidDel="00000000" w:rsidP="00000000" w:rsidRDefault="00000000" w:rsidRPr="00000000" w14:paraId="0000005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4">
      <w:pPr>
        <w:pStyle w:val="Heading2"/>
        <w:rPr/>
      </w:pPr>
      <w:bookmarkStart w:colFirst="0" w:colLast="0" w:name="_jjjoni7zbdn4" w:id="9"/>
      <w:bookmarkEnd w:id="9"/>
      <w:r w:rsidDel="00000000" w:rsidR="00000000" w:rsidRPr="00000000">
        <w:rPr>
          <w:rtl w:val="0"/>
        </w:rPr>
        <w:t xml:space="preserve">Spreadsheets</w:t>
      </w:r>
    </w:p>
    <w:p w:rsidR="00000000" w:rsidDel="00000000" w:rsidP="00000000" w:rsidRDefault="00000000" w:rsidRPr="00000000" w14:paraId="00000055">
      <w:pPr>
        <w:numPr>
          <w:ilvl w:val="0"/>
          <w:numId w:val="1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Double click on the file to open</w:t>
      </w:r>
    </w:p>
    <w:p w:rsidR="00000000" w:rsidDel="00000000" w:rsidP="00000000" w:rsidRDefault="00000000" w:rsidRPr="00000000" w14:paraId="00000056">
      <w:pPr>
        <w:numPr>
          <w:ilvl w:val="0"/>
          <w:numId w:val="1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Once in the file, there is functionality to sort by any of the columns</w:t>
      </w:r>
    </w:p>
    <w:p w:rsidR="00000000" w:rsidDel="00000000" w:rsidP="00000000" w:rsidRDefault="00000000" w:rsidRPr="00000000" w14:paraId="00000057">
      <w:pPr>
        <w:numPr>
          <w:ilvl w:val="0"/>
          <w:numId w:val="1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Searching the file for any parameter is also supported</w:t>
      </w:r>
    </w:p>
    <w:p w:rsidR="00000000" w:rsidDel="00000000" w:rsidP="00000000" w:rsidRDefault="00000000" w:rsidRPr="00000000" w14:paraId="0000005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spreadsheets in folders of this attachment contain information about standards, technical reports and standards working groups. The spreadsheets containing standards and technical reports are organized in the following manner but this can easily be changed by the user: </w:t>
      </w:r>
    </w:p>
    <w:p w:rsidR="00000000" w:rsidDel="00000000" w:rsidP="00000000" w:rsidRDefault="00000000" w:rsidRPr="00000000" w14:paraId="0000005A">
      <w:pPr>
        <w:numPr>
          <w:ilvl w:val="0"/>
          <w:numId w:val="10"/>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The rows are sorted using column A (identifier) in alphabetical order. </w:t>
      </w:r>
    </w:p>
    <w:p w:rsidR="00000000" w:rsidDel="00000000" w:rsidP="00000000" w:rsidRDefault="00000000" w:rsidRPr="00000000" w14:paraId="0000005B">
      <w:pPr>
        <w:numPr>
          <w:ilvl w:val="0"/>
          <w:numId w:val="10"/>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When an SDO has more than one standard or technical report on the domain, then the entries are sorted by year.</w:t>
      </w:r>
    </w:p>
    <w:p w:rsidR="00000000" w:rsidDel="00000000" w:rsidP="00000000" w:rsidRDefault="00000000" w:rsidRPr="00000000" w14:paraId="0000005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Columns G-M contain values from 1-10 (shaded) to provide the user an estimate of the document’s proximity to the domains that are not the focus of the spreadsheet’s clause. To illustrate this please follow the example: </w:t>
      </w:r>
    </w:p>
    <w:p w:rsidR="00000000" w:rsidDel="00000000" w:rsidP="00000000" w:rsidRDefault="00000000" w:rsidRPr="00000000" w14:paraId="0000005D">
      <w:pPr>
        <w:numPr>
          <w:ilvl w:val="0"/>
          <w:numId w:val="5"/>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Open the spreadsheet for clause 6 on infrastructure. Move to columns G-M. Colum G is for data management domain. The fields indicate the proximity of the record to data management in addition to being strongly relevant to infrastructure. The same principle applies for values in the successive columns in the order in which these domains are described in the body of the standards landscape document.</w:t>
      </w:r>
    </w:p>
    <w:p w:rsidR="00000000" w:rsidDel="00000000" w:rsidP="00000000" w:rsidRDefault="00000000" w:rsidRPr="00000000" w14:paraId="0000005E">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NOTE: When the publication year for a document is not available at the time of this attachment’s creation, then the field in column C (Year) is left empty. Similarly, if the working group responsible for the development of the document is not available at the time of this attachment’s creation, the field D (Standard Working Group) is empty or contains “not available.”</w:t>
      </w:r>
    </w:p>
    <w:p w:rsidR="00000000" w:rsidDel="00000000" w:rsidP="00000000" w:rsidRDefault="00000000" w:rsidRPr="00000000" w14:paraId="0000006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the spreadsheet for clause 14, cross-domain standards, the documents are organized by the degree to which they are relevant to all the domains defined for the present standards landscape. In other words, for the document described in the first row, it is highly relevant (score of 7 or greater) in all 8 domains and its variance is low. </w:t>
      </w:r>
    </w:p>
    <w:p w:rsidR="00000000" w:rsidDel="00000000" w:rsidP="00000000" w:rsidRDefault="00000000" w:rsidRPr="00000000" w14:paraId="0000006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the three spreadsheets for clause 15, industry-specific standards, the documents provided have not been studied carefully and metadata is not available. The spreadsheets each have several workbooks focusing on different categories of standards for the industry on which the spreadsheet focuses. </w:t>
      </w:r>
    </w:p>
    <w:p w:rsidR="00000000" w:rsidDel="00000000" w:rsidP="00000000" w:rsidRDefault="00000000" w:rsidRPr="00000000" w14:paraId="00000064">
      <w:pPr>
        <w:pStyle w:val="Heading1"/>
        <w:rPr/>
      </w:pPr>
      <w:bookmarkStart w:colFirst="0" w:colLast="0" w:name="_hidesvix625j" w:id="10"/>
      <w:bookmarkEnd w:id="10"/>
      <w:r w:rsidDel="00000000" w:rsidR="00000000" w:rsidRPr="00000000">
        <w:rPr>
          <w:rtl w:val="0"/>
        </w:rPr>
        <w:t xml:space="preserve">Feedback</w:t>
      </w:r>
    </w:p>
    <w:p w:rsidR="00000000" w:rsidDel="00000000" w:rsidP="00000000" w:rsidRDefault="00000000" w:rsidRPr="00000000" w14:paraId="0000006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you have any comments or feedback regarding the contents of the attachment, please send an e-mail to </w:t>
      </w:r>
      <w:hyperlink r:id="rId6">
        <w:r w:rsidDel="00000000" w:rsidR="00000000" w:rsidRPr="00000000">
          <w:rPr>
            <w:rFonts w:ascii="Times New Roman" w:cs="Times New Roman" w:eastAsia="Times New Roman" w:hAnsi="Times New Roman"/>
            <w:color w:val="1155cc"/>
            <w:sz w:val="24"/>
            <w:szCs w:val="24"/>
            <w:u w:val="single"/>
            <w:rtl w:val="0"/>
          </w:rPr>
          <w:t xml:space="preserve">viwisso.project@gmail.com</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66">
      <w:pPr>
        <w:rPr>
          <w:rFonts w:ascii="Times New Roman" w:cs="Times New Roman" w:eastAsia="Times New Roman" w:hAnsi="Times New Roman"/>
          <w:sz w:val="24"/>
          <w:szCs w:val="24"/>
        </w:rPr>
      </w:pPr>
      <w:r w:rsidDel="00000000" w:rsidR="00000000" w:rsidRPr="00000000">
        <w:rPr>
          <w:rtl w:val="0"/>
        </w:rPr>
      </w:r>
    </w:p>
    <w:sectPr>
      <w:head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ReadMe for gr_arf010v010101p0.zip</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rFonts w:ascii="Arial" w:cs="Arial" w:eastAsia="Arial" w:hAnsi="Arial"/>
        <w:sz w:val="27"/>
        <w:szCs w:val="27"/>
        <w:u w:val="none"/>
      </w:rPr>
    </w:lvl>
    <w:lvl w:ilvl="1">
      <w:start w:val="1"/>
      <w:numFmt w:val="bullet"/>
      <w:lvlText w:val="○"/>
      <w:lvlJc w:val="left"/>
      <w:pPr>
        <w:ind w:left="1440" w:hanging="360"/>
      </w:pPr>
      <w:rPr>
        <w:rFonts w:ascii="Arial" w:cs="Arial" w:eastAsia="Arial" w:hAnsi="Arial"/>
        <w:sz w:val="27"/>
        <w:szCs w:val="27"/>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decimal"/>
      <w:lvlText w:val="%1."/>
      <w:lvlJc w:val="left"/>
      <w:pPr>
        <w:ind w:left="720" w:hanging="360"/>
      </w:pPr>
      <w:rPr>
        <w:rFonts w:ascii="Arial" w:cs="Arial" w:eastAsia="Arial" w:hAnsi="Arial"/>
        <w:sz w:val="27"/>
        <w:szCs w:val="27"/>
        <w:u w:val="none"/>
      </w:rPr>
    </w:lvl>
    <w:lvl w:ilvl="1">
      <w:start w:val="1"/>
      <w:numFmt w:val="bullet"/>
      <w:lvlText w:val="○"/>
      <w:lvlJc w:val="left"/>
      <w:pPr>
        <w:ind w:left="1440" w:hanging="360"/>
      </w:pPr>
      <w:rPr>
        <w:rFonts w:ascii="Arial" w:cs="Arial" w:eastAsia="Arial" w:hAnsi="Arial"/>
        <w:sz w:val="27"/>
        <w:szCs w:val="27"/>
        <w:u w:val="none"/>
      </w:rPr>
    </w:lvl>
    <w:lvl w:ilvl="2">
      <w:start w:val="1"/>
      <w:numFmt w:val="bullet"/>
      <w:lvlText w:val="■"/>
      <w:lvlJc w:val="left"/>
      <w:pPr>
        <w:ind w:left="2160" w:hanging="360"/>
      </w:pPr>
      <w:rPr>
        <w:rFonts w:ascii="Arial" w:cs="Arial" w:eastAsia="Arial" w:hAnsi="Arial"/>
        <w:sz w:val="27"/>
        <w:szCs w:val="27"/>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left"/>
      <w:pPr>
        <w:ind w:left="720" w:hanging="360"/>
      </w:pPr>
      <w:rPr>
        <w:rFonts w:ascii="Arial" w:cs="Arial" w:eastAsia="Arial" w:hAnsi="Arial"/>
        <w:sz w:val="27"/>
        <w:szCs w:val="27"/>
        <w:u w:val="none"/>
      </w:rPr>
    </w:lvl>
    <w:lvl w:ilvl="1">
      <w:start w:val="1"/>
      <w:numFmt w:val="bullet"/>
      <w:lvlText w:val="○"/>
      <w:lvlJc w:val="left"/>
      <w:pPr>
        <w:ind w:left="1440" w:hanging="360"/>
      </w:pPr>
      <w:rPr>
        <w:rFonts w:ascii="Arial" w:cs="Arial" w:eastAsia="Arial" w:hAnsi="Arial"/>
        <w:sz w:val="27"/>
        <w:szCs w:val="27"/>
        <w:u w:val="none"/>
      </w:rPr>
    </w:lvl>
    <w:lvl w:ilvl="2">
      <w:start w:val="1"/>
      <w:numFmt w:val="bullet"/>
      <w:lvlText w:val="■"/>
      <w:lvlJc w:val="left"/>
      <w:pPr>
        <w:ind w:left="2160" w:hanging="360"/>
      </w:pPr>
      <w:rPr>
        <w:rFonts w:ascii="Arial" w:cs="Arial" w:eastAsia="Arial" w:hAnsi="Arial"/>
        <w:sz w:val="27"/>
        <w:szCs w:val="27"/>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viwisso.project@gmail.com" TargetMode="External"/><Relationship Id="rId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